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854325" cy="476885"/>
            <wp:effectExtent b="0" l="0" r="0" t="0"/>
            <wp:docPr descr="cid:image001.jpg@01D3908E.0C4858A0" id="1" name="image1.jpg"/>
            <a:graphic>
              <a:graphicData uri="http://schemas.openxmlformats.org/drawingml/2006/picture">
                <pic:pic>
                  <pic:nvPicPr>
                    <pic:cNvPr descr="cid:image001.jpg@01D3908E.0C4858A0" id="0" name="image1.jpg"/>
                    <pic:cNvPicPr preferRelativeResize="0"/>
                  </pic:nvPicPr>
                  <pic:blipFill>
                    <a:blip r:embed="rId6"/>
                    <a:srcRect b="-6820" l="-8770" r="-8264" t="-10214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476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tr00zqv3dxs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center"/>
        <w:rPr>
          <w:rFonts w:ascii="MangoSans" w:cs="MangoSans" w:eastAsia="MangoSans" w:hAnsi="Mango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center"/>
        <w:rPr>
          <w:rFonts w:ascii="MangoSans" w:cs="MangoSans" w:eastAsia="MangoSans" w:hAnsi="MangoSans"/>
          <w:b w:val="1"/>
          <w:sz w:val="28"/>
          <w:szCs w:val="28"/>
        </w:rPr>
      </w:pPr>
      <w:r w:rsidDel="00000000" w:rsidR="00000000" w:rsidRPr="00000000">
        <w:rPr>
          <w:rFonts w:ascii="MangoSans" w:cs="MangoSans" w:eastAsia="MangoSans" w:hAnsi="MangoSans"/>
          <w:b w:val="1"/>
          <w:sz w:val="28"/>
          <w:szCs w:val="28"/>
          <w:rtl w:val="0"/>
        </w:rPr>
        <w:t xml:space="preserve">A TRAVÉS DE LA TECNOLOGÍA, MANGO CONTROLA EL CUMPLIMIENTO DE LAS MEDIDAS DE SALUD Y SEGURIDAD POR COVID-19 EN SUS CENTROS DE PRODUCCIÓN DE TODO EL MUNDO</w:t>
      </w:r>
    </w:p>
    <w:p w:rsidR="00000000" w:rsidDel="00000000" w:rsidP="00000000" w:rsidRDefault="00000000" w:rsidRPr="00000000" w14:paraId="00000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center"/>
        <w:rPr>
          <w:rFonts w:ascii="MangoSans" w:cs="MangoSans" w:eastAsia="MangoSans" w:hAnsi="Mango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center"/>
        <w:rPr>
          <w:rFonts w:ascii="Arial" w:cs="Arial" w:eastAsia="Arial" w:hAnsi="Arial"/>
          <w:b w:val="1"/>
          <w:color w:val="121314"/>
        </w:rPr>
      </w:pPr>
      <w:r w:rsidDel="00000000" w:rsidR="00000000" w:rsidRPr="00000000">
        <w:rPr>
          <w:rFonts w:ascii="Arial" w:cs="Arial" w:eastAsia="Arial" w:hAnsi="Arial"/>
          <w:b w:val="1"/>
          <w:color w:val="121314"/>
          <w:rtl w:val="0"/>
        </w:rPr>
        <w:t xml:space="preserve">La compañía cuenta con una herramienta de análisis de la calidad de sus producciones que le permite implementar planes de mejora </w:t>
      </w:r>
    </w:p>
    <w:p w:rsidR="00000000" w:rsidDel="00000000" w:rsidP="00000000" w:rsidRDefault="00000000" w:rsidRPr="00000000" w14:paraId="00000007">
      <w:pPr>
        <w:spacing w:after="225" w:before="28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5" w:before="280" w:line="240" w:lineRule="auto"/>
        <w:jc w:val="both"/>
        <w:rPr>
          <w:rFonts w:ascii="Arial" w:cs="Arial" w:eastAsia="Arial" w:hAnsi="Arial"/>
          <w:color w:val="12131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Ciudad de México, 22 de julio del 2020 </w:t>
      </w: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Ante la crisis sanitaria provocada por el COVID-19, </w:t>
      </w:r>
      <w:r w:rsidDel="00000000" w:rsidR="00000000" w:rsidRPr="00000000">
        <w:rPr>
          <w:rFonts w:ascii="Arial" w:cs="Arial" w:eastAsia="Arial" w:hAnsi="Arial"/>
          <w:b w:val="1"/>
          <w:color w:val="121314"/>
          <w:rtl w:val="0"/>
        </w:rPr>
        <w:t xml:space="preserve">MANGO</w:t>
      </w: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 ha iniciado el monitoreo de medidas preventivas implementadas por sus proveedores en sus centros de producción a nivel mundial. El objetivo es verificar que se estén aplicando todas las medidas de seguridad necesarias para la protección de la salud de sus trabajadores. </w:t>
      </w:r>
    </w:p>
    <w:p w:rsidR="00000000" w:rsidDel="00000000" w:rsidP="00000000" w:rsidRDefault="00000000" w:rsidRPr="00000000" w14:paraId="00000009">
      <w:pPr>
        <w:spacing w:after="225" w:before="280" w:line="240" w:lineRule="auto"/>
        <w:jc w:val="both"/>
        <w:rPr>
          <w:rFonts w:ascii="Arial" w:cs="Arial" w:eastAsia="Arial" w:hAnsi="Arial"/>
          <w:color w:val="121314"/>
        </w:rPr>
      </w:pPr>
      <w:r w:rsidDel="00000000" w:rsidR="00000000" w:rsidRPr="00000000">
        <w:rPr>
          <w:rFonts w:ascii="Arial" w:cs="Arial" w:eastAsia="Arial" w:hAnsi="Arial"/>
          <w:b w:val="1"/>
          <w:color w:val="121314"/>
          <w:rtl w:val="0"/>
        </w:rPr>
        <w:t xml:space="preserve">MANGO</w:t>
      </w: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, a través de la plataforma digital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u w:val="single"/>
            <w:rtl w:val="0"/>
          </w:rPr>
          <w:t xml:space="preserve">Inspectorio</w:t>
        </w:r>
      </w:hyperlink>
      <w:r w:rsidDel="00000000" w:rsidR="00000000" w:rsidRPr="00000000">
        <w:rPr>
          <w:rFonts w:ascii="Arial" w:cs="Arial" w:eastAsia="Arial" w:hAnsi="Arial"/>
          <w:b w:val="1"/>
          <w:color w:val="12131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 está recopilando y analizando los datos obtenidos mediante auditorías basadas en protocolos de ONGs internacionales. Esto se lleva a cabo con el fin de detectar posibles carencias y así poder aconsejar de manera proactiva las acciones correctivas oportunas que deben aplicarse para prevenir y proteger a los trabajadores de sus centros productivos. </w:t>
      </w:r>
    </w:p>
    <w:p w:rsidR="00000000" w:rsidDel="00000000" w:rsidP="00000000" w:rsidRDefault="00000000" w:rsidRPr="00000000" w14:paraId="0000000A">
      <w:pPr>
        <w:spacing w:after="225" w:before="280" w:line="240" w:lineRule="auto"/>
        <w:jc w:val="both"/>
        <w:rPr>
          <w:rFonts w:ascii="Arial" w:cs="Arial" w:eastAsia="Arial" w:hAnsi="Arial"/>
          <w:color w:val="121314"/>
        </w:rPr>
      </w:pP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Como parte de su proceso de transformación digital, </w:t>
      </w:r>
      <w:r w:rsidDel="00000000" w:rsidR="00000000" w:rsidRPr="00000000">
        <w:rPr>
          <w:rFonts w:ascii="Arial" w:cs="Arial" w:eastAsia="Arial" w:hAnsi="Arial"/>
          <w:b w:val="1"/>
          <w:color w:val="121314"/>
          <w:rtl w:val="0"/>
        </w:rPr>
        <w:t xml:space="preserve">MANGO</w:t>
      </w: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 implementó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u w:val="single"/>
            <w:rtl w:val="0"/>
          </w:rPr>
          <w:t xml:space="preserve">Inspectorio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en 2019 como herramienta de análisis de la calidad de sus producciones, lo que le permite la promoción e implementación de planes de mejora futuras y la evaluación del desempeño de sus proveedores.</w:t>
      </w:r>
    </w:p>
    <w:p w:rsidR="00000000" w:rsidDel="00000000" w:rsidP="00000000" w:rsidRDefault="00000000" w:rsidRPr="00000000" w14:paraId="0000000B">
      <w:pPr>
        <w:spacing w:after="225" w:before="280" w:line="240" w:lineRule="auto"/>
        <w:jc w:val="both"/>
        <w:rPr>
          <w:rFonts w:ascii="Arial" w:cs="Arial" w:eastAsia="Arial" w:hAnsi="Arial"/>
          <w:color w:val="121314"/>
        </w:rPr>
      </w:pPr>
      <w:r w:rsidDel="00000000" w:rsidR="00000000" w:rsidRPr="00000000">
        <w:rPr>
          <w:rFonts w:ascii="Arial" w:cs="Arial" w:eastAsia="Arial" w:hAnsi="Arial"/>
          <w:color w:val="121314"/>
          <w:rtl w:val="0"/>
        </w:rPr>
        <w:t xml:space="preserve">A través de estas acciones, la firma española se asegura de que todos los involucrados en la producción de prendas, calzado y accesorios mantengan su salud y bienestar en el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kxefnowvkhg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Arial" w:cs="Arial" w:eastAsia="Arial" w:hAnsi="Arial"/>
          <w:sz w:val="17"/>
          <w:szCs w:val="17"/>
        </w:rPr>
      </w:pPr>
      <w:bookmarkStart w:colFirst="0" w:colLast="0" w:name="_1lqz8xtmlhpq" w:id="3"/>
      <w:bookmarkEnd w:id="3"/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###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  <w:sz w:val="17"/>
          <w:szCs w:val="17"/>
        </w:rPr>
      </w:pPr>
      <w:bookmarkStart w:colFirst="0" w:colLast="0" w:name="_w24jmydm4c6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  <w:sz w:val="17"/>
          <w:szCs w:val="17"/>
        </w:rPr>
      </w:pPr>
      <w:bookmarkStart w:colFirst="0" w:colLast="0" w:name="_q7890ei91zq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 MANGO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14"/>
          <w:szCs w:val="14"/>
          <w:rtl w:val="0"/>
        </w:rPr>
        <w:t xml:space="preserve">MANGO</w:t>
      </w:r>
      <w:r w:rsidDel="00000000" w:rsidR="00000000" w:rsidRPr="00000000">
        <w:rPr>
          <w:rFonts w:ascii="Trebuchet MS" w:cs="Trebuchet MS" w:eastAsia="Trebuchet MS" w:hAnsi="Trebuchet MS"/>
          <w:i w:val="1"/>
          <w:sz w:val="14"/>
          <w:szCs w:val="14"/>
          <w:rtl w:val="0"/>
        </w:rPr>
        <w:t xml:space="preserve"> nació en 1984 y, a día de hoy, es uno de los principales grupos de moda del mundo. Con origen y sede central en Barcelona y una plantilla de alrededor de 15.000 empleados, dispone de una extensa red de 803.000 m</w:t>
      </w:r>
      <w:r w:rsidDel="00000000" w:rsidR="00000000" w:rsidRPr="00000000">
        <w:rPr>
          <w:rFonts w:ascii="Trebuchet MS" w:cs="Trebuchet MS" w:eastAsia="Trebuchet MS" w:hAnsi="Trebuchet MS"/>
          <w:i w:val="1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i w:val="1"/>
          <w:sz w:val="14"/>
          <w:szCs w:val="14"/>
          <w:rtl w:val="0"/>
        </w:rPr>
        <w:t xml:space="preserve"> en más de 110 países. Desde su Centro de Diseño “El Hangar” en Palau-solità i Plegamans se diseñan cada año más de 18.000 prendas y accesorios acordes a las tendencias de la temporada. La compañía cerró 2019 con unas ventas de 2.374 millones de euros. Más información en</w:t>
      </w:r>
      <w:hyperlink r:id="rId10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sz w:val="14"/>
            <w:szCs w:val="14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rebuchet MS" w:cs="Trebuchet MS" w:eastAsia="Trebuchet MS" w:hAnsi="Trebuchet MS"/>
            <w:i w:val="1"/>
            <w:color w:val="0a4cb4"/>
            <w:sz w:val="14"/>
            <w:szCs w:val="14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mayor información: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lucia.angel@another.co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Cel: (+52) 951 128 49 68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Nallely Enríquez / Fashion Retail &amp; Lifestyle Director 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nallely@another.co</w:t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Cel: +52 55 2559 8113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Mango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ango.comlebris.es/" TargetMode="External"/><Relationship Id="rId10" Type="http://schemas.openxmlformats.org/officeDocument/2006/relationships/hyperlink" Target="http://www.mango.comlebris.es/" TargetMode="External"/><Relationship Id="rId9" Type="http://schemas.openxmlformats.org/officeDocument/2006/relationships/hyperlink" Target="https://inspectorio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inspectorio.com/" TargetMode="External"/><Relationship Id="rId8" Type="http://schemas.openxmlformats.org/officeDocument/2006/relationships/hyperlink" Target="https://inspector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